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为了响应国家“发展新一代人工智能”的号召，以大赛为载体，营造人工智能产业蓬勃发展的良好社会氛围，为人工智能领域储备青少年人才基础。</w:t>
      </w:r>
    </w:p>
    <w:p>
      <w:pPr>
        <w:rPr>
          <w:rStyle w:val="7"/>
        </w:rPr>
      </w:pPr>
      <w:r>
        <w:rPr>
          <w:rStyle w:val="7"/>
          <w:rFonts w:hint="eastAsia"/>
        </w:rPr>
        <w:t>一、主题：地心探索世界</w:t>
      </w:r>
    </w:p>
    <w:p>
      <w:r>
        <w:rPr>
          <w:rFonts w:hint="eastAsia"/>
        </w:rPr>
        <w:t>主题说明：地心，是地核的俗称，是指地球的中心部分，半径约3480千米，主要由铁、镍元素组成。其物理性质与周围的地幔和地壳有明显的不同。地核的质量占整个地球质量的31. 5%，体积占整个地球体积的16. 2%。地核的密度很大，即使最坚硬的金刚石，在这里也会被压成黄油那样软。这里的温度可达4000～6000℃。地心的秘密非常多，队员们可以用各种办法去挖掘、了解和探索。让我们一起动手动脑，行动起来，为探寻和展示地心的奥秘贡献出自己的一份力量！</w:t>
      </w:r>
    </w:p>
    <w:p>
      <w:pPr>
        <w:rPr>
          <w:rStyle w:val="7"/>
        </w:rPr>
      </w:pPr>
      <w:r>
        <w:rPr>
          <w:rStyle w:val="7"/>
          <w:rFonts w:hint="eastAsia"/>
        </w:rPr>
        <w:t>二、参赛对象：</w:t>
      </w:r>
    </w:p>
    <w:p>
      <w:r>
        <w:rPr>
          <w:rFonts w:hint="eastAsia"/>
        </w:rPr>
        <w:t xml:space="preserve">参赛人员分为：学前组、低段学龄组 </w:t>
      </w:r>
    </w:p>
    <w:p>
      <w:r>
        <w:rPr>
          <w:rFonts w:hint="eastAsia"/>
        </w:rPr>
        <w:t>每队由</w:t>
      </w:r>
      <w:r>
        <w:rPr>
          <w:rFonts w:hint="eastAsia"/>
          <w:lang w:val="en-US" w:eastAsia="zh-CN"/>
        </w:rPr>
        <w:t>3</w:t>
      </w:r>
      <w:r>
        <w:t>-</w:t>
      </w:r>
      <w:r>
        <w:rPr>
          <w:rFonts w:hint="eastAsia"/>
        </w:rPr>
        <w:t>4名</w:t>
      </w:r>
      <w:r>
        <w:rPr>
          <w:rFonts w:hint="eastAsia"/>
          <w:lang w:val="en-US" w:eastAsia="zh-CN"/>
        </w:rPr>
        <w:t>.10</w:t>
      </w:r>
      <w:r>
        <w:rPr>
          <w:rFonts w:hint="eastAsia"/>
        </w:rPr>
        <w:t>岁以下学生和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名成人教练组成。</w:t>
      </w:r>
    </w:p>
    <w:p>
      <w:r>
        <w:rPr>
          <w:rFonts w:hint="eastAsia"/>
        </w:rPr>
        <w:t>参赛队伍由上海市青少年科技创新网为组织单位统一申报。</w:t>
      </w:r>
    </w:p>
    <w:p>
      <w:pPr>
        <w:rPr>
          <w:rStyle w:val="7"/>
        </w:rPr>
      </w:pPr>
      <w:r>
        <w:rPr>
          <w:rStyle w:val="7"/>
          <w:rFonts w:hint="eastAsia"/>
        </w:rPr>
        <w:t>三、大赛安排：</w:t>
      </w:r>
    </w:p>
    <w:p>
      <w:r>
        <w:rPr>
          <w:rFonts w:hint="eastAsia"/>
        </w:rPr>
        <w:t>报名日期：2</w:t>
      </w:r>
      <w:r>
        <w:t>021</w:t>
      </w:r>
      <w:r>
        <w:rPr>
          <w:rFonts w:hint="eastAsia"/>
        </w:rPr>
        <w:t>年5月</w:t>
      </w:r>
      <w:r>
        <w:rPr>
          <w:rFonts w:hint="eastAsia"/>
          <w:lang w:eastAsia="zh-CN"/>
        </w:rPr>
        <w:t>中旬</w:t>
      </w:r>
      <w:r>
        <w:rPr>
          <w:rFonts w:hint="eastAsia"/>
          <w:lang w:val="en-US" w:eastAsia="zh-CN"/>
        </w:rPr>
        <w:t>-6月初</w:t>
      </w:r>
      <w:r>
        <w:rPr>
          <w:rFonts w:hint="eastAsia"/>
        </w:rPr>
        <w:t>（具体日期以上海青少年科技创新网公示为准）</w:t>
      </w:r>
    </w:p>
    <w:p>
      <w:r>
        <w:rPr>
          <w:rFonts w:hint="eastAsia"/>
        </w:rPr>
        <w:t>赛事日期：2</w:t>
      </w:r>
      <w:r>
        <w:t>021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>
      <w:r>
        <w:rPr>
          <w:rFonts w:hint="eastAsia"/>
        </w:rPr>
        <w:t>赛事地址：上海科学会堂（南昌路</w:t>
      </w:r>
      <w:r>
        <w:t>47</w:t>
      </w:r>
      <w:r>
        <w:rPr>
          <w:rFonts w:hint="eastAsia"/>
        </w:rPr>
        <w:t>号）</w:t>
      </w:r>
    </w:p>
    <w:p>
      <w:pPr>
        <w:rPr>
          <w:rStyle w:val="7"/>
        </w:rPr>
      </w:pPr>
      <w:r>
        <w:rPr>
          <w:rStyle w:val="7"/>
          <w:rFonts w:hint="eastAsia"/>
        </w:rPr>
        <w:t>四、赛道介绍：</w:t>
      </w:r>
    </w:p>
    <w:p>
      <w:pPr>
        <w:tabs>
          <w:tab w:val="left" w:pos="1958"/>
        </w:tabs>
      </w:pPr>
      <w:r>
        <w:rPr>
          <w:rFonts w:hint="eastAsia"/>
        </w:rPr>
        <w:t>“探索地心世界“创意编程:</w:t>
      </w:r>
    </w:p>
    <w:p>
      <w:pPr>
        <w:tabs>
          <w:tab w:val="left" w:pos="1958"/>
        </w:tabs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创意编程赛项包含软件程序设计和实物硬件作品设计两部分，分为学前组（幼儿园）和低段学龄组（小学1</w:t>
      </w:r>
      <w: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年级），组别划分以本组中最高年级学生为准。本届创意编程赛分为现场制作和作品展示两部分。比赛要求参赛学生组队编程、调试程序并控制作品完成比赛任务。符合3</w:t>
      </w:r>
      <w:r>
        <w:t>C</w:t>
      </w:r>
      <w:r>
        <w:rPr>
          <w:rFonts w:hint="eastAsia"/>
        </w:rPr>
        <w:t>标准的器材均可参赛，但仅限于ABS材质、大颗粒、小颗粒积木。如：如乐高、KUBO、</w:t>
      </w:r>
      <w:r>
        <w:rPr>
          <w:rFonts w:hint="eastAsia"/>
          <w:lang w:eastAsia="zh-CN"/>
        </w:rPr>
        <w:t>邦宝</w:t>
      </w:r>
      <w:r>
        <w:rPr>
          <w:rFonts w:hint="eastAsia"/>
        </w:rPr>
        <w:t xml:space="preserve">等。 </w:t>
      </w:r>
    </w:p>
    <w:p>
      <w:pPr>
        <w:rPr>
          <w:rStyle w:val="7"/>
        </w:rPr>
      </w:pPr>
      <w:r>
        <w:rPr>
          <w:rStyle w:val="7"/>
          <w:rFonts w:hint="eastAsia"/>
        </w:rPr>
        <w:t>作品要求：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携带制作完成的作品参赛，以地心探险为主题。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模型整体长宽高尺寸：74CM*48CM*47CM。整体模型可以由多个小模型组成。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整体结构完整：根据结构、传感器等创意点数量评分。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机械结构：至少有一个主要结构件必须现场完成。根据机械结构数量和运行流畅度评分。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装饰材料：可使用纸、布、彩带等做装饰，总体装饰部分占总作品比例为5%-30%。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主题呈现：根据主题内容环节，以及队员融入程度评分。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编程部分：通过程序编写、运行和效果呈现给予评分。</w:t>
      </w:r>
    </w:p>
    <w:p>
      <w:pPr>
        <w:pStyle w:val="11"/>
        <w:tabs>
          <w:tab w:val="left" w:pos="1958"/>
        </w:tabs>
        <w:rPr>
          <w:b/>
          <w:bCs/>
        </w:rPr>
      </w:pPr>
      <w:r>
        <w:rPr>
          <w:rFonts w:hint="eastAsia"/>
          <w:b/>
          <w:bCs/>
        </w:rPr>
        <w:t>（幼儿组不涵盖、低段学龄组必须涵盖）</w:t>
      </w:r>
    </w:p>
    <w:p>
      <w:pPr>
        <w:pStyle w:val="11"/>
        <w:numPr>
          <w:ilvl w:val="0"/>
          <w:numId w:val="1"/>
        </w:numPr>
        <w:tabs>
          <w:tab w:val="left" w:pos="1958"/>
        </w:tabs>
      </w:pPr>
      <w:r>
        <w:rPr>
          <w:rFonts w:hint="eastAsia"/>
        </w:rPr>
        <w:t>展板制作：一张可站立的88cm*123cm三折演示纸板，不能超过这个尺寸。得分创意点：整洁、整齐、手工材料、可收回、清晰、色彩绚丽、丰富、环保、童趣。（如下图）</w:t>
      </w:r>
    </w:p>
    <w:p>
      <w:pPr>
        <w:tabs>
          <w:tab w:val="left" w:pos="1958"/>
        </w:tabs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2852420" cy="2690495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737" cy="269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</w:pPr>
    </w:p>
    <w:p>
      <w:pPr>
        <w:tabs>
          <w:tab w:val="left" w:pos="1958"/>
        </w:tabs>
        <w:ind w:left="360"/>
      </w:pPr>
      <w:r>
        <w:t>9</w:t>
      </w:r>
      <w:r>
        <w:rPr>
          <w:rFonts w:hint="eastAsia"/>
        </w:rPr>
        <w:t>、团队答辩和展示：比赛过程中团队成员都有参与、不吵闹打架。根据答辩所含内容要素和问题解答能力评分，例如团队、海报、模型、结构等介绍。展示方式可以但不限于情景剧、歌舞等、也可有服装道具的使用。</w:t>
      </w:r>
    </w:p>
    <w:p>
      <w:pPr>
        <w:rPr>
          <w:rStyle w:val="7"/>
          <w:rFonts w:hint="eastAsia"/>
        </w:rPr>
      </w:pPr>
      <w:r>
        <w:rPr>
          <w:rStyle w:val="7"/>
          <w:rFonts w:hint="eastAsia"/>
        </w:rPr>
        <w:t>评分表见附件：学前组总分为2</w:t>
      </w:r>
      <w:r>
        <w:rPr>
          <w:rStyle w:val="7"/>
        </w:rPr>
        <w:t>10</w:t>
      </w:r>
      <w:r>
        <w:rPr>
          <w:rStyle w:val="7"/>
          <w:rFonts w:hint="eastAsia"/>
        </w:rPr>
        <w:t>分、低段学龄组总分为2</w:t>
      </w:r>
      <w:r>
        <w:rPr>
          <w:rStyle w:val="7"/>
        </w:rPr>
        <w:t>60</w:t>
      </w:r>
      <w:r>
        <w:rPr>
          <w:rStyle w:val="7"/>
          <w:rFonts w:hint="eastAsia"/>
        </w:rPr>
        <w:t>分。</w:t>
      </w:r>
    </w:p>
    <w:p>
      <w:pPr>
        <w:rPr>
          <w:rStyle w:val="7"/>
          <w:rFonts w:hint="default" w:eastAsiaTheme="minor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奖项设置：一等奖25%二等奖35%三等奖40%</w:t>
      </w:r>
    </w:p>
    <w:p>
      <w:pPr>
        <w:tabs>
          <w:tab w:val="left" w:pos="1958"/>
        </w:tabs>
      </w:pPr>
    </w:p>
    <w:p>
      <w:pPr>
        <w:tabs>
          <w:tab w:val="left" w:pos="1958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赛事咨询：杨老师</w:t>
      </w:r>
      <w:r>
        <w:rPr>
          <w:rFonts w:hint="eastAsia"/>
          <w:lang w:val="en-US" w:eastAsia="zh-CN"/>
        </w:rPr>
        <w:t>18018675121</w:t>
      </w:r>
    </w:p>
    <w:tbl>
      <w:tblPr>
        <w:tblStyle w:val="5"/>
        <w:tblpPr w:leftFromText="180" w:rightFromText="180" w:vertAnchor="page" w:horzAnchor="margin" w:tblpXSpec="center" w:tblpY="1726"/>
        <w:tblOverlap w:val="never"/>
        <w:tblW w:w="99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84"/>
        <w:gridCol w:w="10"/>
        <w:gridCol w:w="6260"/>
        <w:gridCol w:w="686"/>
        <w:gridCol w:w="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评分项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评分标准 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分数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模 型</w:t>
            </w:r>
          </w:p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搭 建</w:t>
            </w:r>
          </w:p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（100分）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尺寸标准73CM*48CM*47CM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25分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整体结构</w:t>
            </w:r>
          </w:p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结构完整，规划布局合理，搭建创意点1-2个。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色彩、形状搭配有一定的视觉冲击力，搭建创意点2-4个。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整体设计有艺术感染力，使用材料丰富，搭建创意点3个以上。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机械结构</w:t>
            </w:r>
          </w:p>
          <w:p>
            <w:pP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1个以上机械结构且功能匹配，运行流畅。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2个及以上机械结构，且其中一个功能匹配，运行流畅。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2个及以上机械结构，且其中两个功能匹配，运行流畅。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装饰材料</w:t>
            </w:r>
          </w:p>
          <w:p>
            <w:pP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（3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装饰部分使用其他材料占主体搭建比例≧30%。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装饰部分全部用规定的搭建材料完成或占主体搭建比例≦5%。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装饰部分使用其他材料占主体搭建比例：5%≦占比≦30%。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主题呈现</w:t>
            </w:r>
          </w:p>
          <w:p>
            <w:pP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紧扣主题，能够展示地心探险的多个环节，1-2名成员融入模型角色中。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紧扣主题，能够展示地心探险的多个环节，3名及以上成员融入模型角色中。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编程</w:t>
            </w:r>
          </w:p>
          <w:p>
            <w:pPr>
              <w:jc w:val="center"/>
              <w:rPr>
                <w:rStyle w:val="10"/>
                <w:rFonts w:hint="eastAsia" w:ascii="宋体" w:hAnsi="宋体" w:eastAsia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b/>
                <w:color w:val="FF0000"/>
                <w:kern w:val="0"/>
                <w:sz w:val="21"/>
                <w:szCs w:val="21"/>
                <w:lang w:eastAsia="zh-CN"/>
              </w:rPr>
              <w:t>（仅限低段学龄组）</w:t>
            </w:r>
          </w:p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（50分）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程序编写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运用基础的运动模块程序，且程序完整。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运用传感器的参数进行程序编写，且程序完整。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运用循环、分支、时间辑进行编程，且程序完整。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程序运行</w:t>
            </w:r>
          </w:p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电源直接控制运动模块运行，且运行流畅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含有一个传感器控制一个及以上机械运动，且运行流畅。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含有两个传感器控制一个及以上机械运动，且运行流畅。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效果呈现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程序运行时1个动作能有效完成和主题相关的工作。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程序运行时2个及以上动作能有效完成和主题相关的工作。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程序的目的、原理以及逻辑条理合理清晰，4个及以上动作均有效。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ind w:firstLine="211" w:firstLineChars="100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展 板</w:t>
            </w:r>
          </w:p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（50分）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color w:val="0066CC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展板的尺寸标准88cm*123cm的三折演示纸板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展板内容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基本扣题，包括所要求的三个以上的基本内容，且内容清晰。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紧扣主题，新颖有可研究价值，至少包括三个基本内容详情。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紧扣主题，充满创意，研究有深度，包括四个基本内容详情。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展板创意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版面干净整洁，手工材料使用简单。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版面设计均为手绘，结构清晰，注重色彩搭配。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手工材料丰富、环保、版面整齐，充满童趣，儿童独立完成。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分享</w:t>
            </w:r>
          </w:p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答辩</w:t>
            </w:r>
          </w:p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  <w:t>（60分）</w:t>
            </w: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分享形式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采用直接讲述的方式进行分享，形式简单。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采用编讲故事、唱歌、小品或者其他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表演形式，1-2人参与。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有服装道具配合展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示，采用情景剧形式，形式生动有吸引力，3人及以上参与</w:t>
            </w:r>
            <w:r>
              <w:rPr>
                <w:rStyle w:val="10"/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。学前组作品展示中有编程部分。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团队合作</w:t>
            </w:r>
          </w:p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(20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分)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分享过程由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1-2人完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成，其他队员参与痕迹较少。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有基本的分工，</w:t>
            </w:r>
            <w:r>
              <w:rPr>
                <w:rStyle w:val="10"/>
                <w:rFonts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3人及以上完成，且分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工合理，配合节奏基本稳定。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分享答辩过程中进行分工合作，有序进行；听到评审问题可以有针对性答辩。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答辩内容</w:t>
            </w:r>
          </w:p>
          <w:p>
            <w:pP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Style w:val="10"/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内容包括团队、海报、模型以及核心机械结构和如何探究其中的3个内容。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得分：</w:t>
            </w: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</w:pPr>
          </w:p>
          <w:p>
            <w:pPr>
              <w:snapToGrid w:val="0"/>
              <w:jc w:val="both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5"/>
                <w:szCs w:val="15"/>
                <w:lang w:eastAsia="zh-CN"/>
              </w:rPr>
              <w:t>备注：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内容包括团队、海报、模型以及核心机械结构和如何探究的全部内容。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18"/>
                <w:szCs w:val="18"/>
                <w:lang w:eastAsia="zh-CN"/>
              </w:rPr>
              <w:t>能够倾听评审的问题并作出完整回答，语言逻辑清晰有条理。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8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color w:val="0066CC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958"/>
        </w:tabs>
      </w:pPr>
    </w:p>
    <w:p>
      <w:pPr>
        <w:tabs>
          <w:tab w:val="left" w:pos="1958"/>
        </w:tabs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10"/>
        <w:rFonts w:ascii="宋体" w:hAnsi="宋体" w:eastAsia="宋体"/>
        <w:b/>
        <w:kern w:val="2"/>
        <w:sz w:val="44"/>
        <w:szCs w:val="44"/>
      </w:rPr>
      <w:t xml:space="preserve">     “地心</w:t>
    </w:r>
    <w:r>
      <w:rPr>
        <w:rStyle w:val="10"/>
        <w:rFonts w:hint="eastAsia" w:ascii="宋体" w:hAnsi="宋体" w:eastAsia="宋体"/>
        <w:b/>
        <w:kern w:val="2"/>
        <w:sz w:val="44"/>
        <w:szCs w:val="44"/>
        <w:lang w:eastAsia="zh-CN"/>
      </w:rPr>
      <w:t>探索</w:t>
    </w:r>
    <w:r>
      <w:rPr>
        <w:rStyle w:val="10"/>
        <w:rFonts w:ascii="宋体" w:hAnsi="宋体" w:eastAsia="宋体"/>
        <w:b/>
        <w:kern w:val="2"/>
        <w:sz w:val="44"/>
        <w:szCs w:val="44"/>
      </w:rPr>
      <w:t>世界”创意</w:t>
    </w:r>
    <w:r>
      <w:rPr>
        <w:rStyle w:val="10"/>
        <w:rFonts w:hint="eastAsia" w:ascii="宋体" w:hAnsi="宋体" w:eastAsia="宋体"/>
        <w:b/>
        <w:kern w:val="2"/>
        <w:sz w:val="44"/>
        <w:szCs w:val="44"/>
        <w:lang w:eastAsia="zh-CN"/>
      </w:rPr>
      <w:t>搭建编程赛</w:t>
    </w:r>
    <w:bookmarkStart w:id="0" w:name="_GoBack"/>
    <w:bookmarkEnd w:id="0"/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935D2"/>
    <w:multiLevelType w:val="multilevel"/>
    <w:tmpl w:val="71E935D2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0B"/>
    <w:rsid w:val="00097D6F"/>
    <w:rsid w:val="00142568"/>
    <w:rsid w:val="003B2139"/>
    <w:rsid w:val="003C2D8D"/>
    <w:rsid w:val="004308E8"/>
    <w:rsid w:val="00433EEB"/>
    <w:rsid w:val="0045431A"/>
    <w:rsid w:val="004A74D6"/>
    <w:rsid w:val="006233C5"/>
    <w:rsid w:val="00646E0B"/>
    <w:rsid w:val="00670503"/>
    <w:rsid w:val="006B72B3"/>
    <w:rsid w:val="006F7AC2"/>
    <w:rsid w:val="007657BC"/>
    <w:rsid w:val="007B2A97"/>
    <w:rsid w:val="007F317B"/>
    <w:rsid w:val="00A923ED"/>
    <w:rsid w:val="00AF7288"/>
    <w:rsid w:val="00C27E35"/>
    <w:rsid w:val="00C4297A"/>
    <w:rsid w:val="00CF5F43"/>
    <w:rsid w:val="00E14E59"/>
    <w:rsid w:val="00E92A02"/>
    <w:rsid w:val="00EB6523"/>
    <w:rsid w:val="00F17D24"/>
    <w:rsid w:val="00FE28E0"/>
    <w:rsid w:val="031D3343"/>
    <w:rsid w:val="131E5945"/>
    <w:rsid w:val="15631AFE"/>
    <w:rsid w:val="164C6A11"/>
    <w:rsid w:val="1A5465FC"/>
    <w:rsid w:val="23981D5A"/>
    <w:rsid w:val="296D63B1"/>
    <w:rsid w:val="2AB1220F"/>
    <w:rsid w:val="310867A2"/>
    <w:rsid w:val="38903CC1"/>
    <w:rsid w:val="4D6C4EDF"/>
    <w:rsid w:val="5CB945F5"/>
    <w:rsid w:val="74C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</w:style>
  <w:style w:type="character" w:customStyle="1" w:styleId="9">
    <w:name w:val="页脚 字符"/>
    <w:basedOn w:val="6"/>
    <w:link w:val="2"/>
    <w:qFormat/>
    <w:uiPriority w:val="99"/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1018</Characters>
  <Lines>8</Lines>
  <Paragraphs>2</Paragraphs>
  <TotalTime>6</TotalTime>
  <ScaleCrop>false</ScaleCrop>
  <LinksUpToDate>false</LinksUpToDate>
  <CharactersWithSpaces>1194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2021-04-29T12:53:00Z</dcterms:created>
  <dc:creator>徐 欣筠</dc:creator>
  <cp:lastModifiedBy>Administrator</cp:lastModifiedBy>
  <dcterms:modified xsi:type="dcterms:W3CDTF">2021-05-13T09:40:23Z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0483E9EF9E804DDEA157399C7214F574</vt:lpwstr>
  </property>
</Properties>
</file>